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DFD" w:rsidRDefault="00A30DFD" w:rsidP="00EB08FD">
      <w:pPr>
        <w:pStyle w:val="Corpotesto"/>
        <w:spacing w:before="204" w:line="247" w:lineRule="auto"/>
        <w:ind w:right="244"/>
        <w:jc w:val="both"/>
        <w:rPr>
          <w:rFonts w:asciiTheme="minorHAnsi" w:hAnsiTheme="minorHAnsi" w:cstheme="minorHAnsi"/>
          <w:lang w:val="it-IT"/>
        </w:rPr>
      </w:pPr>
      <w:proofErr w:type="spellStart"/>
      <w:r w:rsidRPr="00A30DFD">
        <w:rPr>
          <w:rFonts w:asciiTheme="minorHAnsi" w:hAnsiTheme="minorHAnsi" w:cstheme="minorHAnsi"/>
          <w:lang w:val="it-IT"/>
        </w:rPr>
        <w:t>Diversity</w:t>
      </w:r>
      <w:proofErr w:type="spellEnd"/>
      <w:r w:rsidRPr="00A30DFD">
        <w:rPr>
          <w:rFonts w:asciiTheme="minorHAnsi" w:hAnsiTheme="minorHAnsi" w:cstheme="minorHAnsi"/>
          <w:lang w:val="it-IT"/>
        </w:rPr>
        <w:t xml:space="preserve"> è una no profit impegnata a valorizzare l’inclusione facendo cultura contro pregiudizi e discriminazioni. </w:t>
      </w:r>
      <w:r w:rsidR="005F47DF">
        <w:rPr>
          <w:rFonts w:asciiTheme="minorHAnsi" w:hAnsiTheme="minorHAnsi" w:cstheme="minorHAnsi"/>
          <w:spacing w:val="-4"/>
          <w:lang w:val="it-IT"/>
        </w:rPr>
        <w:t>Dal 2013 lavora</w:t>
      </w:r>
      <w:r w:rsidRPr="00A30DFD">
        <w:rPr>
          <w:rFonts w:asciiTheme="minorHAnsi" w:hAnsiTheme="minorHAnsi" w:cstheme="minorHAnsi"/>
          <w:spacing w:val="-4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 xml:space="preserve">per </w:t>
      </w:r>
      <w:r w:rsidRPr="00A30DFD">
        <w:rPr>
          <w:rFonts w:asciiTheme="minorHAnsi" w:hAnsiTheme="minorHAnsi" w:cstheme="minorHAnsi"/>
          <w:spacing w:val="-3"/>
          <w:lang w:val="it-IT"/>
        </w:rPr>
        <w:t xml:space="preserve">favorire </w:t>
      </w:r>
      <w:r w:rsidRPr="00A30DFD">
        <w:rPr>
          <w:rFonts w:asciiTheme="minorHAnsi" w:hAnsiTheme="minorHAnsi" w:cstheme="minorHAnsi"/>
          <w:lang w:val="it-IT"/>
        </w:rPr>
        <w:t>una visione del mondo che consideri la molteplicità e le differenze come valori e risorse preziose per tutte le persone. Diritti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individuali,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inclusione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sociale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e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benessere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organizzativo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sono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i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temi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centrali</w:t>
      </w:r>
      <w:r w:rsidRPr="00A30DFD">
        <w:rPr>
          <w:rFonts w:asciiTheme="minorHAnsi" w:hAnsiTheme="minorHAnsi" w:cstheme="minorHAnsi"/>
          <w:spacing w:val="-1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 xml:space="preserve">del </w:t>
      </w:r>
      <w:r w:rsidRPr="00A30DFD">
        <w:rPr>
          <w:rFonts w:asciiTheme="minorHAnsi" w:hAnsiTheme="minorHAnsi" w:cstheme="minorHAnsi"/>
          <w:spacing w:val="-4"/>
          <w:lang w:val="it-IT"/>
        </w:rPr>
        <w:t xml:space="preserve">lavoro </w:t>
      </w:r>
      <w:r w:rsidRPr="00A30DFD">
        <w:rPr>
          <w:rFonts w:asciiTheme="minorHAnsi" w:hAnsiTheme="minorHAnsi" w:cstheme="minorHAnsi"/>
          <w:spacing w:val="-3"/>
          <w:lang w:val="it-IT"/>
        </w:rPr>
        <w:t>svolto</w:t>
      </w:r>
      <w:r w:rsidRPr="00A30DFD">
        <w:rPr>
          <w:rFonts w:asciiTheme="minorHAnsi" w:hAnsiTheme="minorHAnsi" w:cstheme="minorHAnsi"/>
          <w:spacing w:val="-2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dall’associazione.</w:t>
      </w:r>
      <w:r w:rsidR="00EB08FD">
        <w:rPr>
          <w:rFonts w:asciiTheme="minorHAnsi" w:hAnsiTheme="minorHAnsi" w:cstheme="minorHAnsi"/>
          <w:lang w:val="it-IT"/>
        </w:rPr>
        <w:t xml:space="preserve"> Comunicazione, ricerca</w:t>
      </w:r>
      <w:r w:rsidRPr="00A30DFD">
        <w:rPr>
          <w:rFonts w:asciiTheme="minorHAnsi" w:hAnsiTheme="minorHAnsi" w:cstheme="minorHAnsi"/>
          <w:lang w:val="it-IT"/>
        </w:rPr>
        <w:t xml:space="preserve">, formazione, monitoraggio, consulenza e </w:t>
      </w:r>
      <w:proofErr w:type="spellStart"/>
      <w:r w:rsidRPr="00A30DFD">
        <w:rPr>
          <w:rFonts w:asciiTheme="minorHAnsi" w:hAnsiTheme="minorHAnsi" w:cstheme="minorHAnsi"/>
          <w:i/>
          <w:lang w:val="it-IT"/>
        </w:rPr>
        <w:t>advocacy</w:t>
      </w:r>
      <w:proofErr w:type="spellEnd"/>
      <w:r w:rsidRPr="00A30DFD">
        <w:rPr>
          <w:rFonts w:asciiTheme="minorHAnsi" w:hAnsiTheme="minorHAnsi" w:cstheme="minorHAnsi"/>
          <w:i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sono le principali attività svolte da Diversity in collaborazione con un’ampia gamma di partner, tra cui università, istituti di ricerca, scuole, enti locali, aziende e società, organizzazioni non governative nazionali e internazionali.</w:t>
      </w:r>
    </w:p>
    <w:p w:rsidR="00EB08FD" w:rsidRPr="00A30DFD" w:rsidRDefault="00EB08FD" w:rsidP="00A30DFD">
      <w:pPr>
        <w:pStyle w:val="Corpotesto"/>
        <w:spacing w:line="247" w:lineRule="auto"/>
        <w:ind w:right="244"/>
        <w:jc w:val="both"/>
        <w:rPr>
          <w:rFonts w:asciiTheme="minorHAnsi" w:hAnsiTheme="minorHAnsi" w:cstheme="minorHAnsi"/>
          <w:lang w:val="it-IT"/>
        </w:rPr>
      </w:pPr>
    </w:p>
    <w:p w:rsidR="00A30DFD" w:rsidRDefault="00A30DFD" w:rsidP="00A30DFD">
      <w:pPr>
        <w:pStyle w:val="Corpotesto"/>
        <w:spacing w:line="247" w:lineRule="auto"/>
        <w:ind w:right="244"/>
        <w:jc w:val="both"/>
        <w:rPr>
          <w:rFonts w:asciiTheme="minorHAnsi" w:hAnsiTheme="minorHAnsi" w:cstheme="minorHAnsi"/>
          <w:lang w:val="it-IT"/>
        </w:rPr>
      </w:pPr>
      <w:r w:rsidRPr="00A30DFD">
        <w:rPr>
          <w:rFonts w:asciiTheme="minorHAnsi" w:hAnsiTheme="minorHAnsi" w:cstheme="minorHAnsi"/>
          <w:b/>
          <w:lang w:val="it-IT"/>
        </w:rPr>
        <w:t xml:space="preserve">Il </w:t>
      </w:r>
      <w:proofErr w:type="spellStart"/>
      <w:r w:rsidRPr="00A30DFD">
        <w:rPr>
          <w:rFonts w:asciiTheme="minorHAnsi" w:hAnsiTheme="minorHAnsi" w:cstheme="minorHAnsi"/>
          <w:b/>
          <w:lang w:val="it-IT"/>
        </w:rPr>
        <w:t>Diversity</w:t>
      </w:r>
      <w:proofErr w:type="spellEnd"/>
      <w:r w:rsidRPr="00A30DFD">
        <w:rPr>
          <w:rFonts w:asciiTheme="minorHAnsi" w:hAnsiTheme="minorHAnsi" w:cstheme="minorHAnsi"/>
          <w:b/>
          <w:lang w:val="it-IT"/>
        </w:rPr>
        <w:t xml:space="preserve"> Media Watch (DMW) </w:t>
      </w:r>
      <w:r w:rsidRPr="00A30DFD">
        <w:rPr>
          <w:rFonts w:asciiTheme="minorHAnsi" w:hAnsiTheme="minorHAnsi" w:cstheme="minorHAnsi"/>
          <w:lang w:val="it-IT"/>
        </w:rPr>
        <w:t xml:space="preserve">è l’osservatorio </w:t>
      </w:r>
      <w:r w:rsidR="0088176C" w:rsidRPr="00A30DFD">
        <w:rPr>
          <w:rFonts w:asciiTheme="minorHAnsi" w:hAnsiTheme="minorHAnsi" w:cstheme="minorHAnsi"/>
          <w:lang w:val="it-IT"/>
        </w:rPr>
        <w:t>tramite</w:t>
      </w:r>
      <w:r w:rsidRPr="00A30DFD">
        <w:rPr>
          <w:rFonts w:asciiTheme="minorHAnsi" w:hAnsiTheme="minorHAnsi" w:cstheme="minorHAnsi"/>
          <w:lang w:val="it-IT"/>
        </w:rPr>
        <w:t xml:space="preserve"> cui </w:t>
      </w:r>
      <w:proofErr w:type="spellStart"/>
      <w:r w:rsidRPr="00A30DFD">
        <w:rPr>
          <w:rFonts w:asciiTheme="minorHAnsi" w:hAnsiTheme="minorHAnsi" w:cstheme="minorHAnsi"/>
          <w:lang w:val="it-IT"/>
        </w:rPr>
        <w:t>Diversity</w:t>
      </w:r>
      <w:proofErr w:type="spellEnd"/>
      <w:r w:rsidRPr="00A30DFD">
        <w:rPr>
          <w:rFonts w:asciiTheme="minorHAnsi" w:hAnsiTheme="minorHAnsi" w:cstheme="minorHAnsi"/>
          <w:lang w:val="it-IT"/>
        </w:rPr>
        <w:t xml:space="preserve"> </w:t>
      </w:r>
      <w:r w:rsidR="005E5FDD">
        <w:rPr>
          <w:rFonts w:asciiTheme="minorHAnsi" w:hAnsiTheme="minorHAnsi" w:cstheme="minorHAnsi"/>
          <w:lang w:val="it-IT"/>
        </w:rPr>
        <w:t xml:space="preserve">monitora annualmente </w:t>
      </w:r>
      <w:r w:rsidRPr="00A30DFD">
        <w:rPr>
          <w:rFonts w:asciiTheme="minorHAnsi" w:hAnsiTheme="minorHAnsi" w:cstheme="minorHAnsi"/>
          <w:lang w:val="it-IT"/>
        </w:rPr>
        <w:t xml:space="preserve">i media italiani </w:t>
      </w:r>
      <w:r w:rsidR="00A13564">
        <w:rPr>
          <w:rFonts w:asciiTheme="minorHAnsi" w:hAnsiTheme="minorHAnsi" w:cstheme="minorHAnsi"/>
          <w:lang w:val="it-IT"/>
        </w:rPr>
        <w:t>attraverso l’analisi del</w:t>
      </w:r>
      <w:r w:rsidRPr="00A30DFD">
        <w:rPr>
          <w:rFonts w:asciiTheme="minorHAnsi" w:hAnsiTheme="minorHAnsi" w:cstheme="minorHAnsi"/>
          <w:lang w:val="it-IT"/>
        </w:rPr>
        <w:t xml:space="preserve">le notizie dei siti specializzati </w:t>
      </w:r>
      <w:r w:rsidR="00EB08FD" w:rsidRPr="00EB08FD">
        <w:rPr>
          <w:rFonts w:asciiTheme="minorHAnsi" w:hAnsiTheme="minorHAnsi" w:cstheme="minorHAnsi"/>
          <w:lang w:val="it-IT"/>
        </w:rPr>
        <w:t xml:space="preserve">in tematiche di </w:t>
      </w:r>
      <w:proofErr w:type="spellStart"/>
      <w:r w:rsidR="00EB08FD" w:rsidRPr="00EB08FD">
        <w:rPr>
          <w:rFonts w:asciiTheme="minorHAnsi" w:hAnsiTheme="minorHAnsi" w:cstheme="minorHAnsi"/>
          <w:lang w:val="it-IT"/>
        </w:rPr>
        <w:t>diversity</w:t>
      </w:r>
      <w:proofErr w:type="spellEnd"/>
      <w:r w:rsidR="00EB08FD" w:rsidRPr="00EB08FD">
        <w:rPr>
          <w:rFonts w:asciiTheme="minorHAnsi" w:hAnsiTheme="minorHAnsi" w:cstheme="minorHAnsi"/>
          <w:lang w:val="it-IT"/>
        </w:rPr>
        <w:t xml:space="preserve"> &amp; </w:t>
      </w:r>
      <w:proofErr w:type="spellStart"/>
      <w:r w:rsidR="00EB08FD" w:rsidRPr="00EB08FD">
        <w:rPr>
          <w:rFonts w:asciiTheme="minorHAnsi" w:hAnsiTheme="minorHAnsi" w:cstheme="minorHAnsi"/>
          <w:lang w:val="it-IT"/>
        </w:rPr>
        <w:t>inclusion</w:t>
      </w:r>
      <w:proofErr w:type="spellEnd"/>
      <w:r w:rsidR="00EB08FD" w:rsidRPr="00EB08FD">
        <w:rPr>
          <w:rFonts w:asciiTheme="minorHAnsi" w:hAnsiTheme="minorHAnsi" w:cstheme="minorHAnsi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e/o in programmi televisivi o cinematografici e l’osservazi</w:t>
      </w:r>
      <w:bookmarkStart w:id="0" w:name="_GoBack"/>
      <w:bookmarkEnd w:id="0"/>
      <w:r w:rsidRPr="00A30DFD">
        <w:rPr>
          <w:rFonts w:asciiTheme="minorHAnsi" w:hAnsiTheme="minorHAnsi" w:cstheme="minorHAnsi"/>
          <w:lang w:val="it-IT"/>
        </w:rPr>
        <w:t xml:space="preserve">one </w:t>
      </w:r>
      <w:r w:rsidR="00EB08FD" w:rsidRPr="00EB08FD">
        <w:rPr>
          <w:rFonts w:asciiTheme="minorHAnsi" w:hAnsiTheme="minorHAnsi" w:cstheme="minorHAnsi"/>
          <w:lang w:val="it-IT"/>
        </w:rPr>
        <w:t>dei canali social di associazioni di settore operanti su territorio nazionale e internazionale</w:t>
      </w:r>
      <w:r w:rsidRPr="00A30DFD">
        <w:rPr>
          <w:rFonts w:asciiTheme="minorHAnsi" w:hAnsiTheme="minorHAnsi" w:cstheme="minorHAnsi"/>
          <w:lang w:val="it-IT"/>
        </w:rPr>
        <w:t>.</w:t>
      </w:r>
    </w:p>
    <w:p w:rsidR="00EB08FD" w:rsidRPr="00A30DFD" w:rsidRDefault="00EB08FD" w:rsidP="00A30DFD">
      <w:pPr>
        <w:pStyle w:val="Corpotesto"/>
        <w:spacing w:line="247" w:lineRule="auto"/>
        <w:ind w:right="244"/>
        <w:jc w:val="both"/>
        <w:rPr>
          <w:rFonts w:asciiTheme="minorHAnsi" w:hAnsiTheme="minorHAnsi" w:cstheme="minorHAnsi"/>
          <w:lang w:val="it-IT"/>
        </w:rPr>
      </w:pPr>
    </w:p>
    <w:p w:rsidR="00EB08FD" w:rsidRPr="00A30DFD" w:rsidRDefault="00A30DFD" w:rsidP="00A30DFD">
      <w:pPr>
        <w:pStyle w:val="Corpotesto"/>
        <w:spacing w:line="247" w:lineRule="auto"/>
        <w:ind w:right="244"/>
        <w:jc w:val="both"/>
        <w:rPr>
          <w:rFonts w:asciiTheme="minorHAnsi" w:hAnsiTheme="minorHAnsi" w:cstheme="minorHAnsi"/>
          <w:lang w:val="it-IT"/>
        </w:rPr>
      </w:pPr>
      <w:proofErr w:type="spellStart"/>
      <w:r w:rsidRPr="00A30DFD">
        <w:rPr>
          <w:rFonts w:asciiTheme="minorHAnsi" w:hAnsiTheme="minorHAnsi" w:cstheme="minorHAnsi"/>
          <w:lang w:val="it-IT"/>
        </w:rPr>
        <w:t>Diversity</w:t>
      </w:r>
      <w:proofErr w:type="spellEnd"/>
      <w:r w:rsidRPr="00A30DFD">
        <w:rPr>
          <w:rFonts w:asciiTheme="minorHAnsi" w:hAnsiTheme="minorHAnsi" w:cstheme="minorHAnsi"/>
          <w:lang w:val="it-IT"/>
        </w:rPr>
        <w:t xml:space="preserve"> pubblica annualmente il </w:t>
      </w:r>
      <w:r w:rsidRPr="00A30DFD">
        <w:rPr>
          <w:rFonts w:asciiTheme="minorHAnsi" w:hAnsiTheme="minorHAnsi" w:cstheme="minorHAnsi"/>
          <w:b/>
          <w:lang w:val="it-IT"/>
        </w:rPr>
        <w:t>Diversity Media Report (DMR)</w:t>
      </w:r>
      <w:r w:rsidRPr="00A30DFD">
        <w:rPr>
          <w:rFonts w:asciiTheme="minorHAnsi" w:hAnsiTheme="minorHAnsi" w:cstheme="minorHAnsi"/>
          <w:lang w:val="it-IT"/>
        </w:rPr>
        <w:t xml:space="preserve">, lo studio sulla rappresentazione di tematiche </w:t>
      </w:r>
      <w:r w:rsidR="00EB08FD" w:rsidRPr="00EB08FD">
        <w:rPr>
          <w:rFonts w:asciiTheme="minorHAnsi" w:hAnsiTheme="minorHAnsi" w:cstheme="minorHAnsi"/>
          <w:lang w:val="it-IT"/>
        </w:rPr>
        <w:t xml:space="preserve">di genere, età, orientamento, disabilità ed etnia </w:t>
      </w:r>
      <w:r w:rsidRPr="00A30DFD">
        <w:rPr>
          <w:rFonts w:asciiTheme="minorHAnsi" w:hAnsiTheme="minorHAnsi" w:cstheme="minorHAnsi"/>
          <w:lang w:val="it-IT"/>
        </w:rPr>
        <w:t xml:space="preserve">nei media italiani condotto con </w:t>
      </w:r>
      <w:r>
        <w:rPr>
          <w:rFonts w:asciiTheme="minorHAnsi" w:hAnsiTheme="minorHAnsi" w:cstheme="minorHAnsi"/>
          <w:lang w:val="it-IT"/>
        </w:rPr>
        <w:t xml:space="preserve">i principali atenei italiani e </w:t>
      </w:r>
      <w:r w:rsidRPr="00A30DFD">
        <w:rPr>
          <w:rFonts w:asciiTheme="minorHAnsi" w:hAnsiTheme="minorHAnsi" w:cstheme="minorHAnsi"/>
          <w:lang w:val="it-IT"/>
        </w:rPr>
        <w:t xml:space="preserve">centri di ricerca. Il DMR analizza i prodotti cinematografici, televisivi, radiofonici e </w:t>
      </w:r>
      <w:proofErr w:type="spellStart"/>
      <w:r w:rsidRPr="00A30DFD">
        <w:rPr>
          <w:rFonts w:asciiTheme="minorHAnsi" w:hAnsiTheme="minorHAnsi" w:cstheme="minorHAnsi"/>
          <w:spacing w:val="-6"/>
          <w:lang w:val="it-IT"/>
        </w:rPr>
        <w:t>adv</w:t>
      </w:r>
      <w:proofErr w:type="spellEnd"/>
      <w:r w:rsidRPr="00A30DFD">
        <w:rPr>
          <w:rFonts w:asciiTheme="minorHAnsi" w:hAnsiTheme="minorHAnsi" w:cstheme="minorHAnsi"/>
          <w:spacing w:val="-6"/>
          <w:lang w:val="it-IT"/>
        </w:rPr>
        <w:t xml:space="preserve">, </w:t>
      </w:r>
      <w:r w:rsidRPr="00A30DFD">
        <w:rPr>
          <w:rFonts w:asciiTheme="minorHAnsi" w:hAnsiTheme="minorHAnsi" w:cstheme="minorHAnsi"/>
          <w:lang w:val="it-IT"/>
        </w:rPr>
        <w:t xml:space="preserve">nonché misura </w:t>
      </w:r>
      <w:r w:rsidRPr="00A30DFD">
        <w:rPr>
          <w:rFonts w:asciiTheme="minorHAnsi" w:hAnsiTheme="minorHAnsi" w:cstheme="minorHAnsi"/>
          <w:spacing w:val="-3"/>
          <w:lang w:val="it-IT"/>
        </w:rPr>
        <w:t xml:space="preserve">l’accuratezza </w:t>
      </w:r>
      <w:r w:rsidRPr="00A30DFD">
        <w:rPr>
          <w:rFonts w:asciiTheme="minorHAnsi" w:hAnsiTheme="minorHAnsi" w:cstheme="minorHAnsi"/>
          <w:lang w:val="it-IT"/>
        </w:rPr>
        <w:t>dell’informazione TV e della</w:t>
      </w:r>
      <w:r w:rsidRPr="00A30DFD">
        <w:rPr>
          <w:rFonts w:asciiTheme="minorHAnsi" w:hAnsiTheme="minorHAnsi" w:cstheme="minorHAnsi"/>
          <w:spacing w:val="10"/>
          <w:lang w:val="it-IT"/>
        </w:rPr>
        <w:t xml:space="preserve"> </w:t>
      </w:r>
      <w:r w:rsidRPr="00A30DFD">
        <w:rPr>
          <w:rFonts w:asciiTheme="minorHAnsi" w:hAnsiTheme="minorHAnsi" w:cstheme="minorHAnsi"/>
          <w:lang w:val="it-IT"/>
        </w:rPr>
        <w:t>stampa.</w:t>
      </w:r>
    </w:p>
    <w:p w:rsidR="00A30DFD" w:rsidRDefault="00A30DFD" w:rsidP="00A30DFD">
      <w:pPr>
        <w:pStyle w:val="Corpotesto"/>
        <w:spacing w:line="247" w:lineRule="auto"/>
        <w:ind w:right="244"/>
        <w:jc w:val="both"/>
        <w:rPr>
          <w:rFonts w:asciiTheme="minorHAnsi" w:hAnsiTheme="minorHAnsi" w:cstheme="minorHAnsi"/>
          <w:lang w:val="it-IT"/>
        </w:rPr>
      </w:pPr>
      <w:r w:rsidRPr="00A30DFD">
        <w:rPr>
          <w:rFonts w:asciiTheme="minorHAnsi" w:hAnsiTheme="minorHAnsi" w:cstheme="minorHAnsi"/>
          <w:lang w:val="it-IT"/>
        </w:rPr>
        <w:t xml:space="preserve">I risultati del DMR sono alla base dei </w:t>
      </w:r>
      <w:r w:rsidRPr="00A30DFD">
        <w:rPr>
          <w:rFonts w:asciiTheme="minorHAnsi" w:hAnsiTheme="minorHAnsi" w:cstheme="minorHAnsi"/>
          <w:b/>
          <w:lang w:val="it-IT"/>
        </w:rPr>
        <w:t xml:space="preserve">Diversity Media </w:t>
      </w:r>
      <w:r w:rsidRPr="00A30DFD">
        <w:rPr>
          <w:rFonts w:asciiTheme="minorHAnsi" w:hAnsiTheme="minorHAnsi" w:cstheme="minorHAnsi"/>
          <w:b/>
          <w:spacing w:val="-4"/>
          <w:lang w:val="it-IT"/>
        </w:rPr>
        <w:t>Awards</w:t>
      </w:r>
      <w:r w:rsidRPr="00A30DFD">
        <w:rPr>
          <w:rFonts w:asciiTheme="minorHAnsi" w:hAnsiTheme="minorHAnsi" w:cstheme="minorHAnsi"/>
          <w:b/>
          <w:spacing w:val="52"/>
          <w:lang w:val="it-IT"/>
        </w:rPr>
        <w:t xml:space="preserve"> </w:t>
      </w:r>
      <w:r w:rsidRPr="00A30DFD">
        <w:rPr>
          <w:rFonts w:asciiTheme="minorHAnsi" w:hAnsiTheme="minorHAnsi" w:cstheme="minorHAnsi"/>
          <w:b/>
          <w:lang w:val="it-IT"/>
        </w:rPr>
        <w:t>(DMA)</w:t>
      </w:r>
      <w:r w:rsidRPr="00A30DFD">
        <w:rPr>
          <w:rFonts w:asciiTheme="minorHAnsi" w:hAnsiTheme="minorHAnsi" w:cstheme="minorHAnsi"/>
          <w:lang w:val="it-IT"/>
        </w:rPr>
        <w:t xml:space="preserve">, </w:t>
      </w:r>
      <w:r w:rsidRPr="00A30DFD">
        <w:rPr>
          <w:rFonts w:asciiTheme="minorHAnsi" w:hAnsiTheme="minorHAnsi" w:cstheme="minorHAnsi"/>
          <w:spacing w:val="-4"/>
          <w:lang w:val="it-IT"/>
        </w:rPr>
        <w:t xml:space="preserve">l’evento </w:t>
      </w:r>
      <w:r w:rsidRPr="00A30DFD">
        <w:rPr>
          <w:rFonts w:asciiTheme="minorHAnsi" w:hAnsiTheme="minorHAnsi" w:cstheme="minorHAnsi"/>
          <w:spacing w:val="-4"/>
          <w:w w:val="108"/>
          <w:lang w:val="it-IT"/>
        </w:rPr>
        <w:t>t</w:t>
      </w:r>
      <w:r w:rsidRPr="00A30DFD">
        <w:rPr>
          <w:rFonts w:asciiTheme="minorHAnsi" w:hAnsiTheme="minorHAnsi" w:cstheme="minorHAnsi"/>
          <w:w w:val="106"/>
          <w:lang w:val="it-IT"/>
        </w:rPr>
        <w:t>e</w:t>
      </w:r>
      <w:r w:rsidRPr="00A30DFD">
        <w:rPr>
          <w:rFonts w:asciiTheme="minorHAnsi" w:hAnsiTheme="minorHAnsi" w:cstheme="minorHAnsi"/>
          <w:spacing w:val="-1"/>
          <w:w w:val="87"/>
          <w:lang w:val="it-IT"/>
        </w:rPr>
        <w:t>l</w:t>
      </w:r>
      <w:r w:rsidRPr="00A30DFD">
        <w:rPr>
          <w:rFonts w:asciiTheme="minorHAnsi" w:hAnsiTheme="minorHAnsi" w:cstheme="minorHAnsi"/>
          <w:spacing w:val="-6"/>
          <w:w w:val="106"/>
          <w:lang w:val="it-IT"/>
        </w:rPr>
        <w:t>e</w:t>
      </w:r>
      <w:r w:rsidRPr="00A30DFD">
        <w:rPr>
          <w:rFonts w:asciiTheme="minorHAnsi" w:hAnsiTheme="minorHAnsi" w:cstheme="minorHAnsi"/>
          <w:spacing w:val="-1"/>
          <w:w w:val="113"/>
          <w:lang w:val="it-IT"/>
        </w:rPr>
        <w:t>v</w:t>
      </w:r>
      <w:r w:rsidRPr="00A30DFD">
        <w:rPr>
          <w:rFonts w:asciiTheme="minorHAnsi" w:hAnsiTheme="minorHAnsi" w:cstheme="minorHAnsi"/>
          <w:spacing w:val="-1"/>
          <w:w w:val="87"/>
          <w:lang w:val="it-IT"/>
        </w:rPr>
        <w:t>i</w:t>
      </w:r>
      <w:r w:rsidRPr="00A30DFD">
        <w:rPr>
          <w:rFonts w:asciiTheme="minorHAnsi" w:hAnsiTheme="minorHAnsi" w:cstheme="minorHAnsi"/>
          <w:spacing w:val="-1"/>
          <w:w w:val="98"/>
          <w:lang w:val="it-IT"/>
        </w:rPr>
        <w:t>s</w:t>
      </w:r>
      <w:r w:rsidRPr="00A30DFD">
        <w:rPr>
          <w:rFonts w:asciiTheme="minorHAnsi" w:hAnsiTheme="minorHAnsi" w:cstheme="minorHAnsi"/>
          <w:w w:val="87"/>
          <w:lang w:val="it-IT"/>
        </w:rPr>
        <w:t>i</w:t>
      </w:r>
      <w:r w:rsidRPr="00A30DFD">
        <w:rPr>
          <w:rFonts w:asciiTheme="minorHAnsi" w:hAnsiTheme="minorHAnsi" w:cstheme="minorHAnsi"/>
          <w:spacing w:val="-7"/>
          <w:w w:val="113"/>
          <w:lang w:val="it-IT"/>
        </w:rPr>
        <w:t>v</w:t>
      </w:r>
      <w:r w:rsidRPr="00A30DFD">
        <w:rPr>
          <w:rFonts w:asciiTheme="minorHAnsi" w:hAnsiTheme="minorHAnsi" w:cstheme="minorHAnsi"/>
          <w:w w:val="105"/>
          <w:lang w:val="it-IT"/>
        </w:rPr>
        <w:t>o</w:t>
      </w:r>
      <w:r w:rsidRPr="00A30DFD">
        <w:rPr>
          <w:rFonts w:asciiTheme="minorHAnsi" w:hAnsiTheme="minorHAnsi" w:cstheme="minorHAnsi"/>
          <w:lang w:val="it-IT"/>
        </w:rPr>
        <w:t xml:space="preserve"> </w:t>
      </w:r>
      <w:r w:rsidRPr="00A30DFD">
        <w:rPr>
          <w:rFonts w:asciiTheme="minorHAnsi" w:hAnsiTheme="minorHAnsi" w:cstheme="minorHAnsi"/>
          <w:spacing w:val="-1"/>
          <w:w w:val="112"/>
          <w:lang w:val="it-IT"/>
        </w:rPr>
        <w:t>c</w:t>
      </w:r>
      <w:r w:rsidRPr="00A30DFD">
        <w:rPr>
          <w:rFonts w:asciiTheme="minorHAnsi" w:hAnsiTheme="minorHAnsi" w:cstheme="minorHAnsi"/>
          <w:lang w:val="it-IT"/>
        </w:rPr>
        <w:t>h</w:t>
      </w:r>
      <w:r w:rsidRPr="00A30DFD">
        <w:rPr>
          <w:rFonts w:asciiTheme="minorHAnsi" w:hAnsiTheme="minorHAnsi" w:cstheme="minorHAnsi"/>
          <w:w w:val="106"/>
          <w:lang w:val="it-IT"/>
        </w:rPr>
        <w:t>e</w:t>
      </w:r>
      <w:r>
        <w:rPr>
          <w:rFonts w:asciiTheme="minorHAnsi" w:hAnsiTheme="minorHAnsi" w:cstheme="minorHAnsi"/>
          <w:lang w:val="it-IT"/>
        </w:rPr>
        <w:t xml:space="preserve"> </w:t>
      </w:r>
      <w:r w:rsidRPr="00A30DFD">
        <w:rPr>
          <w:rFonts w:asciiTheme="minorHAnsi" w:hAnsiTheme="minorHAnsi" w:cstheme="minorHAnsi"/>
          <w:spacing w:val="-1"/>
          <w:w w:val="106"/>
          <w:lang w:val="it-IT"/>
        </w:rPr>
        <w:t>d</w:t>
      </w:r>
      <w:r w:rsidRPr="00A30DFD">
        <w:rPr>
          <w:rFonts w:asciiTheme="minorHAnsi" w:hAnsiTheme="minorHAnsi" w:cstheme="minorHAnsi"/>
          <w:spacing w:val="-1"/>
          <w:w w:val="105"/>
          <w:lang w:val="it-IT"/>
        </w:rPr>
        <w:t>a</w:t>
      </w:r>
      <w:r w:rsidRPr="00A30DFD">
        <w:rPr>
          <w:rFonts w:asciiTheme="minorHAnsi" w:hAnsiTheme="minorHAnsi" w:cstheme="minorHAnsi"/>
          <w:w w:val="87"/>
          <w:lang w:val="it-IT"/>
        </w:rPr>
        <w:t>l</w:t>
      </w:r>
      <w:r>
        <w:rPr>
          <w:rFonts w:asciiTheme="minorHAnsi" w:hAnsiTheme="minorHAnsi" w:cstheme="minorHAnsi"/>
          <w:lang w:val="it-IT"/>
        </w:rPr>
        <w:t xml:space="preserve"> </w:t>
      </w:r>
      <w:r w:rsidRPr="00A30DFD">
        <w:rPr>
          <w:rFonts w:asciiTheme="minorHAnsi" w:hAnsiTheme="minorHAnsi" w:cstheme="minorHAnsi"/>
          <w:w w:val="94"/>
          <w:lang w:val="it-IT"/>
        </w:rPr>
        <w:t>2</w:t>
      </w:r>
      <w:r w:rsidRPr="00A30DFD">
        <w:rPr>
          <w:rFonts w:asciiTheme="minorHAnsi" w:hAnsiTheme="minorHAnsi" w:cstheme="minorHAnsi"/>
          <w:spacing w:val="-2"/>
          <w:w w:val="113"/>
          <w:lang w:val="it-IT"/>
        </w:rPr>
        <w:t>0</w:t>
      </w:r>
      <w:r w:rsidRPr="00A30DFD">
        <w:rPr>
          <w:rFonts w:asciiTheme="minorHAnsi" w:hAnsiTheme="minorHAnsi" w:cstheme="minorHAnsi"/>
          <w:spacing w:val="-1"/>
          <w:w w:val="53"/>
          <w:lang w:val="it-IT"/>
        </w:rPr>
        <w:t>1</w:t>
      </w:r>
      <w:r w:rsidRPr="00A30DFD">
        <w:rPr>
          <w:rFonts w:asciiTheme="minorHAnsi" w:hAnsiTheme="minorHAnsi" w:cstheme="minorHAnsi"/>
          <w:w w:val="102"/>
          <w:lang w:val="it-IT"/>
        </w:rPr>
        <w:t>6</w:t>
      </w:r>
      <w:r>
        <w:rPr>
          <w:rFonts w:asciiTheme="minorHAnsi" w:hAnsiTheme="minorHAnsi" w:cstheme="minorHAnsi"/>
          <w:lang w:val="it-IT"/>
        </w:rPr>
        <w:t xml:space="preserve"> </w:t>
      </w:r>
      <w:r w:rsidRPr="00A30DFD">
        <w:rPr>
          <w:rFonts w:asciiTheme="minorHAnsi" w:hAnsiTheme="minorHAnsi" w:cstheme="minorHAnsi"/>
          <w:spacing w:val="-1"/>
          <w:w w:val="106"/>
          <w:lang w:val="it-IT"/>
        </w:rPr>
        <w:t>p</w:t>
      </w:r>
      <w:r w:rsidRPr="00A30DFD">
        <w:rPr>
          <w:rFonts w:asciiTheme="minorHAnsi" w:hAnsiTheme="minorHAnsi" w:cstheme="minorHAnsi"/>
          <w:spacing w:val="-6"/>
          <w:w w:val="98"/>
          <w:lang w:val="it-IT"/>
        </w:rPr>
        <w:t>r</w:t>
      </w:r>
      <w:r w:rsidRPr="00A30DFD">
        <w:rPr>
          <w:rFonts w:asciiTheme="minorHAnsi" w:hAnsiTheme="minorHAnsi" w:cstheme="minorHAnsi"/>
          <w:w w:val="106"/>
          <w:lang w:val="it-IT"/>
        </w:rPr>
        <w:t>e</w:t>
      </w:r>
      <w:r w:rsidRPr="00A30DFD">
        <w:rPr>
          <w:rFonts w:asciiTheme="minorHAnsi" w:hAnsiTheme="minorHAnsi" w:cstheme="minorHAnsi"/>
          <w:spacing w:val="-1"/>
          <w:w w:val="103"/>
          <w:lang w:val="it-IT"/>
        </w:rPr>
        <w:t>m</w:t>
      </w:r>
      <w:r w:rsidRPr="00A30DFD">
        <w:rPr>
          <w:rFonts w:asciiTheme="minorHAnsi" w:hAnsiTheme="minorHAnsi" w:cstheme="minorHAnsi"/>
          <w:spacing w:val="-1"/>
          <w:w w:val="87"/>
          <w:lang w:val="it-IT"/>
        </w:rPr>
        <w:t>i</w:t>
      </w:r>
      <w:r w:rsidRPr="00A30DFD">
        <w:rPr>
          <w:rFonts w:asciiTheme="minorHAnsi" w:hAnsiTheme="minorHAnsi" w:cstheme="minorHAnsi"/>
          <w:w w:val="105"/>
          <w:lang w:val="it-IT"/>
        </w:rPr>
        <w:t>a</w:t>
      </w:r>
      <w:r>
        <w:rPr>
          <w:rFonts w:asciiTheme="minorHAnsi" w:hAnsiTheme="minorHAnsi" w:cstheme="minorHAnsi"/>
          <w:lang w:val="it-IT"/>
        </w:rPr>
        <w:t xml:space="preserve"> </w:t>
      </w:r>
      <w:r w:rsidRPr="00A30DFD">
        <w:rPr>
          <w:rFonts w:asciiTheme="minorHAnsi" w:hAnsiTheme="minorHAnsi" w:cstheme="minorHAnsi"/>
          <w:spacing w:val="-1"/>
          <w:w w:val="87"/>
          <w:lang w:val="it-IT"/>
        </w:rPr>
        <w:t>l</w:t>
      </w:r>
      <w:r w:rsidRPr="00A30DFD">
        <w:rPr>
          <w:rFonts w:asciiTheme="minorHAnsi" w:hAnsiTheme="minorHAnsi" w:cstheme="minorHAnsi"/>
          <w:w w:val="106"/>
          <w:lang w:val="it-IT"/>
        </w:rPr>
        <w:t>e</w:t>
      </w:r>
      <w:r>
        <w:rPr>
          <w:rFonts w:asciiTheme="minorHAnsi" w:hAnsiTheme="minorHAnsi" w:cstheme="minorHAnsi"/>
          <w:lang w:val="it-IT"/>
        </w:rPr>
        <w:t xml:space="preserve"> </w:t>
      </w:r>
      <w:r w:rsidRPr="00A30DFD">
        <w:rPr>
          <w:rFonts w:asciiTheme="minorHAnsi" w:hAnsiTheme="minorHAnsi" w:cstheme="minorHAnsi"/>
          <w:spacing w:val="-1"/>
          <w:w w:val="106"/>
          <w:lang w:val="it-IT"/>
        </w:rPr>
        <w:t>p</w:t>
      </w:r>
      <w:r w:rsidRPr="00A30DFD">
        <w:rPr>
          <w:rFonts w:asciiTheme="minorHAnsi" w:hAnsiTheme="minorHAnsi" w:cstheme="minorHAnsi"/>
          <w:spacing w:val="-6"/>
          <w:w w:val="98"/>
          <w:lang w:val="it-IT"/>
        </w:rPr>
        <w:t>r</w:t>
      </w:r>
      <w:r w:rsidRPr="00A30DFD">
        <w:rPr>
          <w:rFonts w:asciiTheme="minorHAnsi" w:hAnsiTheme="minorHAnsi" w:cstheme="minorHAnsi"/>
          <w:spacing w:val="-1"/>
          <w:w w:val="105"/>
          <w:lang w:val="it-IT"/>
        </w:rPr>
        <w:t>o</w:t>
      </w:r>
      <w:r w:rsidRPr="00A30DFD">
        <w:rPr>
          <w:rFonts w:asciiTheme="minorHAnsi" w:hAnsiTheme="minorHAnsi" w:cstheme="minorHAnsi"/>
          <w:spacing w:val="-1"/>
          <w:w w:val="106"/>
          <w:lang w:val="it-IT"/>
        </w:rPr>
        <w:t>d</w:t>
      </w:r>
      <w:r w:rsidRPr="00A30DFD">
        <w:rPr>
          <w:rFonts w:asciiTheme="minorHAnsi" w:hAnsiTheme="minorHAnsi" w:cstheme="minorHAnsi"/>
          <w:spacing w:val="-1"/>
          <w:lang w:val="it-IT"/>
        </w:rPr>
        <w:t>u</w:t>
      </w:r>
      <w:r w:rsidRPr="00A30DFD">
        <w:rPr>
          <w:rFonts w:asciiTheme="minorHAnsi" w:hAnsiTheme="minorHAnsi" w:cstheme="minorHAnsi"/>
          <w:spacing w:val="-1"/>
          <w:w w:val="97"/>
          <w:lang w:val="it-IT"/>
        </w:rPr>
        <w:t>z</w:t>
      </w:r>
      <w:r w:rsidRPr="00A30DFD">
        <w:rPr>
          <w:rFonts w:asciiTheme="minorHAnsi" w:hAnsiTheme="minorHAnsi" w:cstheme="minorHAnsi"/>
          <w:spacing w:val="-1"/>
          <w:w w:val="87"/>
          <w:lang w:val="it-IT"/>
        </w:rPr>
        <w:t>i</w:t>
      </w:r>
      <w:r w:rsidRPr="00A30DFD">
        <w:rPr>
          <w:rFonts w:asciiTheme="minorHAnsi" w:hAnsiTheme="minorHAnsi" w:cstheme="minorHAnsi"/>
          <w:w w:val="105"/>
          <w:lang w:val="it-IT"/>
        </w:rPr>
        <w:t>o</w:t>
      </w:r>
      <w:r w:rsidRPr="00A30DFD">
        <w:rPr>
          <w:rFonts w:asciiTheme="minorHAnsi" w:hAnsiTheme="minorHAnsi" w:cstheme="minorHAnsi"/>
          <w:spacing w:val="-1"/>
          <w:lang w:val="it-IT"/>
        </w:rPr>
        <w:t>n</w:t>
      </w:r>
      <w:r w:rsidRPr="00A30DFD">
        <w:rPr>
          <w:rFonts w:asciiTheme="minorHAnsi" w:hAnsiTheme="minorHAnsi" w:cstheme="minorHAnsi"/>
          <w:w w:val="87"/>
          <w:lang w:val="it-IT"/>
        </w:rPr>
        <w:t>i</w:t>
      </w:r>
      <w:r w:rsidRPr="00A30DFD">
        <w:rPr>
          <w:rFonts w:asciiTheme="minorHAnsi" w:hAnsiTheme="minorHAnsi" w:cstheme="minorHAnsi"/>
          <w:w w:val="73"/>
          <w:lang w:val="it-IT"/>
        </w:rPr>
        <w:t>,</w:t>
      </w:r>
      <w:r>
        <w:rPr>
          <w:rFonts w:asciiTheme="minorHAnsi" w:hAnsiTheme="minorHAnsi" w:cstheme="minorHAnsi"/>
          <w:lang w:val="it-IT"/>
        </w:rPr>
        <w:t xml:space="preserve"> </w:t>
      </w:r>
      <w:r w:rsidRPr="00A30DFD">
        <w:rPr>
          <w:rFonts w:asciiTheme="minorHAnsi" w:hAnsiTheme="minorHAnsi" w:cstheme="minorHAnsi"/>
          <w:w w:val="87"/>
          <w:lang w:val="it-IT"/>
        </w:rPr>
        <w:t>i</w:t>
      </w:r>
      <w:r>
        <w:rPr>
          <w:rFonts w:asciiTheme="minorHAnsi" w:hAnsiTheme="minorHAnsi" w:cstheme="minorHAnsi"/>
          <w:lang w:val="it-IT"/>
        </w:rPr>
        <w:t xml:space="preserve"> </w:t>
      </w:r>
      <w:proofErr w:type="spellStart"/>
      <w:r w:rsidRPr="00A30DFD">
        <w:rPr>
          <w:rFonts w:asciiTheme="minorHAnsi" w:hAnsiTheme="minorHAnsi" w:cstheme="minorHAnsi"/>
          <w:spacing w:val="-1"/>
          <w:w w:val="106"/>
          <w:lang w:val="it-IT"/>
        </w:rPr>
        <w:t>b</w:t>
      </w:r>
      <w:r w:rsidRPr="00A30DFD">
        <w:rPr>
          <w:rFonts w:asciiTheme="minorHAnsi" w:hAnsiTheme="minorHAnsi" w:cstheme="minorHAnsi"/>
          <w:spacing w:val="-6"/>
          <w:w w:val="98"/>
          <w:lang w:val="it-IT"/>
        </w:rPr>
        <w:t>r</w:t>
      </w:r>
      <w:r w:rsidRPr="00A30DFD">
        <w:rPr>
          <w:rFonts w:asciiTheme="minorHAnsi" w:hAnsiTheme="minorHAnsi" w:cstheme="minorHAnsi"/>
          <w:w w:val="105"/>
          <w:lang w:val="it-IT"/>
        </w:rPr>
        <w:t>o</w:t>
      </w:r>
      <w:r w:rsidRPr="00A30DFD">
        <w:rPr>
          <w:rFonts w:asciiTheme="minorHAnsi" w:hAnsiTheme="minorHAnsi" w:cstheme="minorHAnsi"/>
          <w:spacing w:val="-1"/>
          <w:w w:val="105"/>
          <w:lang w:val="it-IT"/>
        </w:rPr>
        <w:t>a</w:t>
      </w:r>
      <w:r w:rsidRPr="00A30DFD">
        <w:rPr>
          <w:rFonts w:asciiTheme="minorHAnsi" w:hAnsiTheme="minorHAnsi" w:cstheme="minorHAnsi"/>
          <w:spacing w:val="-1"/>
          <w:w w:val="106"/>
          <w:lang w:val="it-IT"/>
        </w:rPr>
        <w:t>d</w:t>
      </w:r>
      <w:r w:rsidRPr="00A30DFD">
        <w:rPr>
          <w:rFonts w:asciiTheme="minorHAnsi" w:hAnsiTheme="minorHAnsi" w:cstheme="minorHAnsi"/>
          <w:w w:val="112"/>
          <w:lang w:val="it-IT"/>
        </w:rPr>
        <w:t>c</w:t>
      </w:r>
      <w:r w:rsidRPr="00A30DFD">
        <w:rPr>
          <w:rFonts w:asciiTheme="minorHAnsi" w:hAnsiTheme="minorHAnsi" w:cstheme="minorHAnsi"/>
          <w:spacing w:val="-1"/>
          <w:w w:val="105"/>
          <w:lang w:val="it-IT"/>
        </w:rPr>
        <w:t>a</w:t>
      </w:r>
      <w:r w:rsidRPr="00A30DFD">
        <w:rPr>
          <w:rFonts w:asciiTheme="minorHAnsi" w:hAnsiTheme="minorHAnsi" w:cstheme="minorHAnsi"/>
          <w:spacing w:val="-3"/>
          <w:w w:val="98"/>
          <w:lang w:val="it-IT"/>
        </w:rPr>
        <w:t>s</w:t>
      </w:r>
      <w:r w:rsidRPr="00A30DFD">
        <w:rPr>
          <w:rFonts w:asciiTheme="minorHAnsi" w:hAnsiTheme="minorHAnsi" w:cstheme="minorHAnsi"/>
          <w:spacing w:val="-4"/>
          <w:w w:val="108"/>
          <w:lang w:val="it-IT"/>
        </w:rPr>
        <w:t>t</w:t>
      </w:r>
      <w:r w:rsidRPr="00A30DFD">
        <w:rPr>
          <w:rFonts w:asciiTheme="minorHAnsi" w:hAnsiTheme="minorHAnsi" w:cstheme="minorHAnsi"/>
          <w:w w:val="106"/>
          <w:lang w:val="it-IT"/>
        </w:rPr>
        <w:t>e</w:t>
      </w:r>
      <w:r w:rsidRPr="00A30DFD">
        <w:rPr>
          <w:rFonts w:asciiTheme="minorHAnsi" w:hAnsiTheme="minorHAnsi" w:cstheme="minorHAnsi"/>
          <w:w w:val="98"/>
          <w:lang w:val="it-IT"/>
        </w:rPr>
        <w:t>r</w:t>
      </w:r>
      <w:proofErr w:type="spellEnd"/>
      <w:r w:rsidR="001F5059">
        <w:rPr>
          <w:rFonts w:asciiTheme="minorHAnsi" w:hAnsiTheme="minorHAnsi" w:cstheme="minorHAnsi"/>
          <w:lang w:val="it-IT"/>
        </w:rPr>
        <w:t>, i</w:t>
      </w:r>
      <w:r>
        <w:rPr>
          <w:rFonts w:asciiTheme="minorHAnsi" w:hAnsiTheme="minorHAnsi" w:cstheme="minorHAnsi"/>
          <w:lang w:val="it-IT"/>
        </w:rPr>
        <w:t xml:space="preserve"> </w:t>
      </w:r>
      <w:r w:rsidRPr="00A30DFD">
        <w:rPr>
          <w:rFonts w:asciiTheme="minorHAnsi" w:hAnsiTheme="minorHAnsi" w:cstheme="minorHAnsi"/>
          <w:spacing w:val="-1"/>
          <w:w w:val="106"/>
          <w:lang w:val="it-IT"/>
        </w:rPr>
        <w:t>p</w:t>
      </w:r>
      <w:r w:rsidRPr="00A30DFD">
        <w:rPr>
          <w:rFonts w:asciiTheme="minorHAnsi" w:hAnsiTheme="minorHAnsi" w:cstheme="minorHAnsi"/>
          <w:spacing w:val="-6"/>
          <w:w w:val="98"/>
          <w:lang w:val="it-IT"/>
        </w:rPr>
        <w:t>r</w:t>
      </w:r>
      <w:r w:rsidRPr="00A30DFD">
        <w:rPr>
          <w:rFonts w:asciiTheme="minorHAnsi" w:hAnsiTheme="minorHAnsi" w:cstheme="minorHAnsi"/>
          <w:w w:val="105"/>
          <w:lang w:val="it-IT"/>
        </w:rPr>
        <w:t>o</w:t>
      </w:r>
      <w:r w:rsidRPr="00A30DFD">
        <w:rPr>
          <w:rFonts w:asciiTheme="minorHAnsi" w:hAnsiTheme="minorHAnsi" w:cstheme="minorHAnsi"/>
          <w:spacing w:val="-1"/>
          <w:w w:val="108"/>
          <w:lang w:val="it-IT"/>
        </w:rPr>
        <w:t>t</w:t>
      </w:r>
      <w:r w:rsidRPr="00A30DFD">
        <w:rPr>
          <w:rFonts w:asciiTheme="minorHAnsi" w:hAnsiTheme="minorHAnsi" w:cstheme="minorHAnsi"/>
          <w:spacing w:val="-1"/>
          <w:w w:val="105"/>
          <w:lang w:val="it-IT"/>
        </w:rPr>
        <w:t>a</w:t>
      </w:r>
      <w:r w:rsidRPr="00A30DFD">
        <w:rPr>
          <w:rFonts w:asciiTheme="minorHAnsi" w:hAnsiTheme="minorHAnsi" w:cstheme="minorHAnsi"/>
          <w:spacing w:val="-1"/>
          <w:w w:val="107"/>
          <w:lang w:val="it-IT"/>
        </w:rPr>
        <w:t>g</w:t>
      </w:r>
      <w:r w:rsidRPr="00A30DFD">
        <w:rPr>
          <w:rFonts w:asciiTheme="minorHAnsi" w:hAnsiTheme="minorHAnsi" w:cstheme="minorHAnsi"/>
          <w:w w:val="105"/>
          <w:lang w:val="it-IT"/>
        </w:rPr>
        <w:t>o</w:t>
      </w:r>
      <w:r w:rsidRPr="00A30DFD">
        <w:rPr>
          <w:rFonts w:asciiTheme="minorHAnsi" w:hAnsiTheme="minorHAnsi" w:cstheme="minorHAnsi"/>
          <w:spacing w:val="-1"/>
          <w:lang w:val="it-IT"/>
        </w:rPr>
        <w:t>n</w:t>
      </w:r>
      <w:r w:rsidRPr="00A30DFD">
        <w:rPr>
          <w:rFonts w:asciiTheme="minorHAnsi" w:hAnsiTheme="minorHAnsi" w:cstheme="minorHAnsi"/>
          <w:spacing w:val="-1"/>
          <w:w w:val="87"/>
          <w:lang w:val="it-IT"/>
        </w:rPr>
        <w:t>i</w:t>
      </w:r>
      <w:r w:rsidRPr="00A30DFD">
        <w:rPr>
          <w:rFonts w:asciiTheme="minorHAnsi" w:hAnsiTheme="minorHAnsi" w:cstheme="minorHAnsi"/>
          <w:spacing w:val="-3"/>
          <w:w w:val="98"/>
          <w:lang w:val="it-IT"/>
        </w:rPr>
        <w:t>s</w:t>
      </w:r>
      <w:r w:rsidRPr="00A30DFD">
        <w:rPr>
          <w:rFonts w:asciiTheme="minorHAnsi" w:hAnsiTheme="minorHAnsi" w:cstheme="minorHAnsi"/>
          <w:spacing w:val="-1"/>
          <w:w w:val="108"/>
          <w:lang w:val="it-IT"/>
        </w:rPr>
        <w:t>t</w:t>
      </w:r>
      <w:r w:rsidRPr="00A30DFD">
        <w:rPr>
          <w:rFonts w:asciiTheme="minorHAnsi" w:hAnsiTheme="minorHAnsi" w:cstheme="minorHAnsi"/>
          <w:w w:val="87"/>
          <w:lang w:val="it-IT"/>
        </w:rPr>
        <w:t>i</w:t>
      </w:r>
      <w:r>
        <w:rPr>
          <w:rFonts w:asciiTheme="minorHAnsi" w:hAnsiTheme="minorHAnsi" w:cstheme="minorHAnsi"/>
          <w:lang w:val="it-IT"/>
        </w:rPr>
        <w:t xml:space="preserve"> </w:t>
      </w:r>
      <w:r w:rsidR="001F5059">
        <w:rPr>
          <w:rFonts w:asciiTheme="minorHAnsi" w:hAnsiTheme="minorHAnsi" w:cstheme="minorHAnsi"/>
          <w:lang w:val="it-IT"/>
        </w:rPr>
        <w:t xml:space="preserve">e le protagoniste </w:t>
      </w:r>
      <w:r w:rsidRPr="00A30DFD">
        <w:rPr>
          <w:rFonts w:asciiTheme="minorHAnsi" w:hAnsiTheme="minorHAnsi" w:cstheme="minorHAnsi"/>
          <w:spacing w:val="-1"/>
          <w:w w:val="106"/>
          <w:lang w:val="it-IT"/>
        </w:rPr>
        <w:t>d</w:t>
      </w:r>
      <w:r w:rsidRPr="00A30DFD">
        <w:rPr>
          <w:rFonts w:asciiTheme="minorHAnsi" w:hAnsiTheme="minorHAnsi" w:cstheme="minorHAnsi"/>
          <w:w w:val="106"/>
          <w:lang w:val="it-IT"/>
        </w:rPr>
        <w:t>e</w:t>
      </w:r>
      <w:r w:rsidRPr="00A30DFD">
        <w:rPr>
          <w:rFonts w:asciiTheme="minorHAnsi" w:hAnsiTheme="minorHAnsi" w:cstheme="minorHAnsi"/>
          <w:w w:val="87"/>
          <w:lang w:val="it-IT"/>
        </w:rPr>
        <w:t xml:space="preserve">i </w:t>
      </w:r>
      <w:r w:rsidRPr="00A30DFD">
        <w:rPr>
          <w:rFonts w:asciiTheme="minorHAnsi" w:hAnsiTheme="minorHAnsi" w:cstheme="minorHAnsi"/>
          <w:lang w:val="it-IT"/>
        </w:rPr>
        <w:t xml:space="preserve">prodotti mediali e il personaggio pubblico che meglio hanno </w:t>
      </w:r>
      <w:r w:rsidRPr="00A30DFD">
        <w:rPr>
          <w:rFonts w:asciiTheme="minorHAnsi" w:hAnsiTheme="minorHAnsi" w:cstheme="minorHAnsi"/>
          <w:spacing w:val="-3"/>
          <w:lang w:val="it-IT"/>
        </w:rPr>
        <w:t xml:space="preserve">raccontato </w:t>
      </w:r>
      <w:r w:rsidR="00EB08FD">
        <w:rPr>
          <w:rFonts w:asciiTheme="minorHAnsi" w:hAnsiTheme="minorHAnsi" w:cstheme="minorHAnsi"/>
          <w:spacing w:val="-3"/>
          <w:lang w:val="it-IT"/>
        </w:rPr>
        <w:t xml:space="preserve">in modo valorizzante la diversità </w:t>
      </w:r>
      <w:r w:rsidRPr="00A30DFD">
        <w:rPr>
          <w:rFonts w:asciiTheme="minorHAnsi" w:hAnsiTheme="minorHAnsi" w:cstheme="minorHAnsi"/>
          <w:lang w:val="it-IT"/>
        </w:rPr>
        <w:t>nel corso dell’anno precedente.</w:t>
      </w:r>
    </w:p>
    <w:p w:rsidR="00EB08FD" w:rsidRPr="00A30DFD" w:rsidRDefault="00EB08FD" w:rsidP="00A30DFD">
      <w:pPr>
        <w:pStyle w:val="Corpotesto"/>
        <w:spacing w:line="247" w:lineRule="auto"/>
        <w:ind w:right="244"/>
        <w:jc w:val="both"/>
        <w:rPr>
          <w:rFonts w:asciiTheme="minorHAnsi" w:hAnsiTheme="minorHAnsi" w:cstheme="minorHAnsi"/>
          <w:lang w:val="it-IT"/>
        </w:rPr>
      </w:pPr>
    </w:p>
    <w:p w:rsidR="00A30DFD" w:rsidRDefault="00A30DFD" w:rsidP="00A30DFD">
      <w:pPr>
        <w:spacing w:line="247" w:lineRule="auto"/>
        <w:ind w:left="112" w:right="244"/>
        <w:jc w:val="both"/>
        <w:rPr>
          <w:rFonts w:cstheme="minorHAnsi"/>
          <w:spacing w:val="-4"/>
          <w:sz w:val="22"/>
        </w:rPr>
      </w:pPr>
      <w:r w:rsidRPr="00A30DFD">
        <w:rPr>
          <w:rFonts w:cstheme="minorHAnsi"/>
          <w:sz w:val="22"/>
        </w:rPr>
        <w:t xml:space="preserve">Al fine di attuare i principi guida di </w:t>
      </w:r>
      <w:r w:rsidRPr="00A30DFD">
        <w:rPr>
          <w:rFonts w:cstheme="minorHAnsi"/>
          <w:i/>
          <w:sz w:val="22"/>
        </w:rPr>
        <w:t xml:space="preserve">business and human </w:t>
      </w:r>
      <w:proofErr w:type="spellStart"/>
      <w:r w:rsidRPr="00A30DFD">
        <w:rPr>
          <w:rFonts w:cstheme="minorHAnsi"/>
          <w:i/>
          <w:sz w:val="22"/>
        </w:rPr>
        <w:t>rights</w:t>
      </w:r>
      <w:proofErr w:type="spellEnd"/>
      <w:r w:rsidRPr="00A30DFD">
        <w:rPr>
          <w:rFonts w:cstheme="minorHAnsi"/>
          <w:i/>
          <w:sz w:val="22"/>
        </w:rPr>
        <w:t xml:space="preserve"> </w:t>
      </w:r>
      <w:r w:rsidRPr="00A30DFD">
        <w:rPr>
          <w:rFonts w:cstheme="minorHAnsi"/>
          <w:sz w:val="22"/>
        </w:rPr>
        <w:t xml:space="preserve">dell’ONU, </w:t>
      </w:r>
      <w:proofErr w:type="spellStart"/>
      <w:r w:rsidRPr="00A30DFD">
        <w:rPr>
          <w:rFonts w:cstheme="minorHAnsi"/>
          <w:sz w:val="22"/>
        </w:rPr>
        <w:t>Diversity</w:t>
      </w:r>
      <w:proofErr w:type="spellEnd"/>
      <w:r w:rsidRPr="00A30DFD">
        <w:rPr>
          <w:rFonts w:cstheme="minorHAnsi"/>
          <w:sz w:val="22"/>
        </w:rPr>
        <w:t xml:space="preserve"> inoltre </w:t>
      </w:r>
      <w:r w:rsidRPr="00A30DFD">
        <w:rPr>
          <w:rFonts w:cstheme="minorHAnsi"/>
          <w:spacing w:val="-4"/>
          <w:sz w:val="22"/>
        </w:rPr>
        <w:t xml:space="preserve">lavora </w:t>
      </w:r>
      <w:r w:rsidRPr="00A30DFD">
        <w:rPr>
          <w:rFonts w:cstheme="minorHAnsi"/>
          <w:sz w:val="22"/>
        </w:rPr>
        <w:t xml:space="preserve">con le </w:t>
      </w:r>
      <w:r w:rsidRPr="00A30DFD">
        <w:rPr>
          <w:rFonts w:cstheme="minorHAnsi"/>
          <w:b/>
          <w:sz w:val="22"/>
        </w:rPr>
        <w:t xml:space="preserve">aziende </w:t>
      </w:r>
      <w:r w:rsidRPr="00A30DFD">
        <w:rPr>
          <w:rFonts w:cstheme="minorHAnsi"/>
          <w:sz w:val="22"/>
        </w:rPr>
        <w:t xml:space="preserve">per migliorare la qualità della vita delle persone e facilitare l’adozione di politiche di sostegno e valorizzazione del talento nei luoghi di </w:t>
      </w:r>
      <w:r w:rsidRPr="00A30DFD">
        <w:rPr>
          <w:rFonts w:cstheme="minorHAnsi"/>
          <w:spacing w:val="-4"/>
          <w:sz w:val="22"/>
        </w:rPr>
        <w:t xml:space="preserve">lavoro. </w:t>
      </w:r>
      <w:r w:rsidRPr="00A30DFD">
        <w:rPr>
          <w:rFonts w:cstheme="minorHAnsi"/>
          <w:sz w:val="22"/>
          <w:lang w:val="en-US"/>
        </w:rPr>
        <w:t xml:space="preserve">In </w:t>
      </w:r>
      <w:proofErr w:type="spellStart"/>
      <w:r w:rsidRPr="00A30DFD">
        <w:rPr>
          <w:rFonts w:cstheme="minorHAnsi"/>
          <w:sz w:val="22"/>
          <w:lang w:val="en-US"/>
        </w:rPr>
        <w:t>particolare</w:t>
      </w:r>
      <w:proofErr w:type="spellEnd"/>
      <w:r w:rsidRPr="00A30DFD">
        <w:rPr>
          <w:rFonts w:cstheme="minorHAnsi"/>
          <w:sz w:val="22"/>
          <w:lang w:val="en-US"/>
        </w:rPr>
        <w:t xml:space="preserve">, </w:t>
      </w:r>
      <w:proofErr w:type="spellStart"/>
      <w:r w:rsidRPr="00A30DFD">
        <w:rPr>
          <w:rFonts w:cstheme="minorHAnsi"/>
          <w:sz w:val="22"/>
          <w:lang w:val="en-US"/>
        </w:rPr>
        <w:t>si</w:t>
      </w:r>
      <w:proofErr w:type="spellEnd"/>
      <w:r w:rsidRPr="00A30DFD">
        <w:rPr>
          <w:rFonts w:cstheme="minorHAnsi"/>
          <w:sz w:val="22"/>
          <w:lang w:val="en-US"/>
        </w:rPr>
        <w:t xml:space="preserve"> </w:t>
      </w:r>
      <w:proofErr w:type="spellStart"/>
      <w:r w:rsidRPr="00A30DFD">
        <w:rPr>
          <w:rFonts w:cstheme="minorHAnsi"/>
          <w:sz w:val="22"/>
          <w:lang w:val="en-US"/>
        </w:rPr>
        <w:t>occupa</w:t>
      </w:r>
      <w:proofErr w:type="spellEnd"/>
      <w:r w:rsidRPr="00A30DFD">
        <w:rPr>
          <w:rFonts w:cstheme="minorHAnsi"/>
          <w:sz w:val="22"/>
          <w:lang w:val="en-US"/>
        </w:rPr>
        <w:t xml:space="preserve"> di </w:t>
      </w:r>
      <w:r w:rsidRPr="00A30DFD">
        <w:rPr>
          <w:rFonts w:cstheme="minorHAnsi"/>
          <w:i/>
          <w:sz w:val="22"/>
          <w:lang w:val="en-US"/>
        </w:rPr>
        <w:t xml:space="preserve">diversity management, unconscious bias, inclusion guidelines </w:t>
      </w:r>
      <w:r w:rsidRPr="00A30DFD">
        <w:rPr>
          <w:rFonts w:cstheme="minorHAnsi"/>
          <w:sz w:val="22"/>
          <w:lang w:val="en-US"/>
        </w:rPr>
        <w:t xml:space="preserve">e </w:t>
      </w:r>
      <w:r w:rsidRPr="00A30DFD">
        <w:rPr>
          <w:rFonts w:cstheme="minorHAnsi"/>
          <w:i/>
          <w:sz w:val="22"/>
          <w:lang w:val="en-US"/>
        </w:rPr>
        <w:t xml:space="preserve">case </w:t>
      </w:r>
      <w:r w:rsidRPr="00A30DFD">
        <w:rPr>
          <w:rFonts w:cstheme="minorHAnsi"/>
          <w:i/>
          <w:spacing w:val="-4"/>
          <w:sz w:val="22"/>
          <w:lang w:val="en-US"/>
        </w:rPr>
        <w:t>history,</w:t>
      </w:r>
      <w:r w:rsidRPr="00A30DFD">
        <w:rPr>
          <w:rFonts w:cstheme="minorHAnsi"/>
          <w:i/>
          <w:spacing w:val="60"/>
          <w:sz w:val="22"/>
          <w:lang w:val="en-US"/>
        </w:rPr>
        <w:t xml:space="preserve"> </w:t>
      </w:r>
      <w:r w:rsidRPr="00A30DFD">
        <w:rPr>
          <w:rFonts w:cstheme="minorHAnsi"/>
          <w:i/>
          <w:sz w:val="22"/>
          <w:lang w:val="en-US"/>
        </w:rPr>
        <w:t>brand positioning, product development, strategic marketing plans, crisis management</w:t>
      </w:r>
      <w:r w:rsidRPr="00A30DFD">
        <w:rPr>
          <w:rFonts w:cstheme="minorHAnsi"/>
          <w:sz w:val="22"/>
          <w:lang w:val="en-US"/>
        </w:rPr>
        <w:t xml:space="preserve">. </w:t>
      </w:r>
      <w:r w:rsidRPr="00A30DFD">
        <w:rPr>
          <w:rFonts w:cstheme="minorHAnsi"/>
          <w:sz w:val="22"/>
        </w:rPr>
        <w:t xml:space="preserve">Per valorizzare </w:t>
      </w:r>
      <w:r w:rsidRPr="00A30DFD">
        <w:rPr>
          <w:rFonts w:cstheme="minorHAnsi"/>
          <w:spacing w:val="-3"/>
          <w:sz w:val="22"/>
        </w:rPr>
        <w:t xml:space="preserve">l’effetto </w:t>
      </w:r>
      <w:r w:rsidRPr="00A30DFD">
        <w:rPr>
          <w:rFonts w:cstheme="minorHAnsi"/>
          <w:sz w:val="22"/>
        </w:rPr>
        <w:t xml:space="preserve">delle politiche di inclusione sull’economia, Diversity ne misura l’impatto sul business, in una prospettiva </w:t>
      </w:r>
      <w:proofErr w:type="spellStart"/>
      <w:r w:rsidRPr="00A30DFD">
        <w:rPr>
          <w:rFonts w:cstheme="minorHAnsi"/>
          <w:i/>
          <w:sz w:val="22"/>
        </w:rPr>
        <w:t>customer</w:t>
      </w:r>
      <w:proofErr w:type="spellEnd"/>
      <w:r w:rsidRPr="00A30DFD">
        <w:rPr>
          <w:rFonts w:cstheme="minorHAnsi"/>
          <w:i/>
          <w:sz w:val="22"/>
        </w:rPr>
        <w:t xml:space="preserve"> </w:t>
      </w:r>
      <w:proofErr w:type="spellStart"/>
      <w:r w:rsidRPr="00A30DFD">
        <w:rPr>
          <w:rFonts w:cstheme="minorHAnsi"/>
          <w:i/>
          <w:sz w:val="22"/>
        </w:rPr>
        <w:t>based</w:t>
      </w:r>
      <w:proofErr w:type="spellEnd"/>
      <w:r w:rsidRPr="00A30DFD">
        <w:rPr>
          <w:rFonts w:cstheme="minorHAnsi"/>
          <w:sz w:val="22"/>
        </w:rPr>
        <w:t xml:space="preserve">, realizzando, in collaborazione con Focus Management, il </w:t>
      </w:r>
      <w:r w:rsidRPr="00A30DFD">
        <w:rPr>
          <w:rFonts w:cstheme="minorHAnsi"/>
          <w:b/>
          <w:sz w:val="22"/>
        </w:rPr>
        <w:t>Diversity Brand Index</w:t>
      </w:r>
      <w:r w:rsidRPr="00A30DFD">
        <w:rPr>
          <w:rFonts w:cstheme="minorHAnsi"/>
          <w:sz w:val="22"/>
        </w:rPr>
        <w:t xml:space="preserve">. I risultati </w:t>
      </w:r>
      <w:r>
        <w:rPr>
          <w:rFonts w:cstheme="minorHAnsi"/>
          <w:sz w:val="22"/>
        </w:rPr>
        <w:t xml:space="preserve">vengono presentati annualmente </w:t>
      </w:r>
      <w:r w:rsidRPr="00A30DFD">
        <w:rPr>
          <w:rFonts w:cstheme="minorHAnsi"/>
          <w:sz w:val="22"/>
        </w:rPr>
        <w:t xml:space="preserve">al </w:t>
      </w:r>
      <w:r w:rsidRPr="00A30DFD">
        <w:rPr>
          <w:rFonts w:cstheme="minorHAnsi"/>
          <w:b/>
          <w:sz w:val="22"/>
        </w:rPr>
        <w:t>Diversity Brand Summit (DBS)</w:t>
      </w:r>
      <w:r w:rsidRPr="00A30DFD">
        <w:rPr>
          <w:rFonts w:cstheme="minorHAnsi"/>
          <w:sz w:val="22"/>
        </w:rPr>
        <w:t xml:space="preserve">, </w:t>
      </w:r>
      <w:r w:rsidRPr="00A30DFD">
        <w:rPr>
          <w:rFonts w:cstheme="minorHAnsi"/>
          <w:spacing w:val="-4"/>
          <w:sz w:val="22"/>
        </w:rPr>
        <w:t xml:space="preserve">l’evento </w:t>
      </w:r>
      <w:r w:rsidRPr="00A30DFD">
        <w:rPr>
          <w:rFonts w:cstheme="minorHAnsi"/>
          <w:sz w:val="22"/>
        </w:rPr>
        <w:t xml:space="preserve">annuale che </w:t>
      </w:r>
      <w:r w:rsidRPr="00A30DFD">
        <w:rPr>
          <w:rFonts w:cstheme="minorHAnsi"/>
          <w:spacing w:val="-3"/>
          <w:sz w:val="22"/>
        </w:rPr>
        <w:t xml:space="preserve">svela </w:t>
      </w:r>
      <w:r w:rsidRPr="00A30DFD">
        <w:rPr>
          <w:rFonts w:cstheme="minorHAnsi"/>
          <w:sz w:val="22"/>
        </w:rPr>
        <w:t xml:space="preserve">il </w:t>
      </w:r>
      <w:r w:rsidRPr="00A30DFD">
        <w:rPr>
          <w:rFonts w:cstheme="minorHAnsi"/>
          <w:spacing w:val="-3"/>
          <w:sz w:val="22"/>
        </w:rPr>
        <w:t xml:space="preserve">valore </w:t>
      </w:r>
      <w:r w:rsidRPr="00A30DFD">
        <w:rPr>
          <w:rFonts w:cstheme="minorHAnsi"/>
          <w:sz w:val="22"/>
        </w:rPr>
        <w:t xml:space="preserve">dell’inclusione generato dai brand nei mercati e nella società. Le aziende che per l’opinione pubblica e per gli stakeholder si distinguono per la capacità di saper parlare ad ogni persona vengono premiate con il </w:t>
      </w:r>
      <w:proofErr w:type="spellStart"/>
      <w:r w:rsidRPr="00A30DFD">
        <w:rPr>
          <w:rFonts w:cstheme="minorHAnsi"/>
          <w:b/>
          <w:sz w:val="22"/>
        </w:rPr>
        <w:t>Diversity</w:t>
      </w:r>
      <w:proofErr w:type="spellEnd"/>
      <w:r w:rsidRPr="00A30DFD">
        <w:rPr>
          <w:rFonts w:cstheme="minorHAnsi"/>
          <w:b/>
          <w:sz w:val="22"/>
        </w:rPr>
        <w:t xml:space="preserve"> Brand</w:t>
      </w:r>
      <w:r w:rsidRPr="00A30DFD">
        <w:rPr>
          <w:rFonts w:cstheme="minorHAnsi"/>
          <w:b/>
          <w:spacing w:val="12"/>
          <w:sz w:val="22"/>
        </w:rPr>
        <w:t xml:space="preserve"> </w:t>
      </w:r>
      <w:r w:rsidRPr="00A30DFD">
        <w:rPr>
          <w:rFonts w:cstheme="minorHAnsi"/>
          <w:b/>
          <w:spacing w:val="-4"/>
          <w:sz w:val="22"/>
        </w:rPr>
        <w:t>Awards</w:t>
      </w:r>
      <w:r w:rsidRPr="00A30DFD">
        <w:rPr>
          <w:rFonts w:cstheme="minorHAnsi"/>
          <w:spacing w:val="-4"/>
          <w:sz w:val="22"/>
        </w:rPr>
        <w:t>.</w:t>
      </w:r>
    </w:p>
    <w:p w:rsidR="00EB08FD" w:rsidRPr="00A30DFD" w:rsidRDefault="00EB08FD" w:rsidP="00A30DFD">
      <w:pPr>
        <w:spacing w:line="247" w:lineRule="auto"/>
        <w:ind w:left="112" w:right="244"/>
        <w:jc w:val="both"/>
        <w:rPr>
          <w:rFonts w:cstheme="minorHAnsi"/>
        </w:rPr>
      </w:pPr>
    </w:p>
    <w:p w:rsidR="00A30DFD" w:rsidRPr="00A30DFD" w:rsidRDefault="00A30DFD" w:rsidP="00A30DFD">
      <w:pPr>
        <w:pStyle w:val="Corpotesto"/>
        <w:spacing w:line="247" w:lineRule="auto"/>
        <w:ind w:right="244"/>
        <w:jc w:val="both"/>
        <w:rPr>
          <w:rFonts w:asciiTheme="minorHAnsi" w:hAnsiTheme="minorHAnsi" w:cstheme="minorHAnsi"/>
          <w:lang w:val="it-IT"/>
        </w:rPr>
      </w:pPr>
      <w:r w:rsidRPr="00A30DFD">
        <w:rPr>
          <w:rFonts w:asciiTheme="minorHAnsi" w:hAnsiTheme="minorHAnsi" w:cstheme="minorHAnsi"/>
          <w:lang w:val="it-IT"/>
        </w:rPr>
        <w:t xml:space="preserve">Diversity progetta e realizza programmi formativi anche per il </w:t>
      </w:r>
      <w:r w:rsidRPr="00A30DFD">
        <w:rPr>
          <w:rFonts w:asciiTheme="minorHAnsi" w:hAnsiTheme="minorHAnsi" w:cstheme="minorHAnsi"/>
          <w:b/>
          <w:lang w:val="it-IT"/>
        </w:rPr>
        <w:t xml:space="preserve">settore pubblico </w:t>
      </w:r>
      <w:r w:rsidRPr="00A30DFD">
        <w:rPr>
          <w:rFonts w:asciiTheme="minorHAnsi" w:hAnsiTheme="minorHAnsi" w:cstheme="minorHAnsi"/>
          <w:lang w:val="it-IT"/>
        </w:rPr>
        <w:t>per fare cultura sui temi della diversità e creare le condizioni per il superamento del pregiudizio. Diversity ha maturato un’esperienza significativa in ambito scolastico proponendo a studenti ed insegnanti percorsi formativi per rilevare e affrontare nella pratica quotidiana episodi discriminatori e di bullismo e promuovere il benessere nelle scuole.</w:t>
      </w:r>
    </w:p>
    <w:p w:rsidR="00A30DFD" w:rsidRPr="00A30DFD" w:rsidRDefault="00A30DFD" w:rsidP="00A30DFD">
      <w:pPr>
        <w:pStyle w:val="Corpotesto"/>
        <w:ind w:left="0"/>
        <w:rPr>
          <w:rFonts w:asciiTheme="minorHAnsi" w:hAnsiTheme="minorHAnsi" w:cstheme="minorHAnsi"/>
          <w:sz w:val="24"/>
          <w:lang w:val="it-IT"/>
        </w:rPr>
      </w:pPr>
    </w:p>
    <w:p w:rsidR="00A30DFD" w:rsidRDefault="00A30DFD" w:rsidP="00A30DFD">
      <w:pPr>
        <w:pStyle w:val="Corpotesto"/>
        <w:spacing w:before="1"/>
        <w:ind w:left="0"/>
        <w:rPr>
          <w:rFonts w:asciiTheme="minorHAnsi" w:hAnsiTheme="minorHAnsi" w:cstheme="minorHAnsi"/>
          <w:lang w:val="it-IT"/>
        </w:rPr>
      </w:pPr>
    </w:p>
    <w:p w:rsidR="00A30DFD" w:rsidRPr="00EB08FD" w:rsidRDefault="00A30DFD" w:rsidP="00EB08FD">
      <w:pPr>
        <w:rPr>
          <w:rFonts w:eastAsia="Lucida Sans" w:cstheme="minorHAnsi"/>
          <w:sz w:val="22"/>
          <w:szCs w:val="22"/>
          <w:lang w:eastAsia="en-US"/>
        </w:rPr>
      </w:pPr>
    </w:p>
    <w:p w:rsidR="00A30DFD" w:rsidRPr="00A30DFD" w:rsidRDefault="00A30DFD" w:rsidP="00A30DFD">
      <w:pPr>
        <w:pStyle w:val="Corpotesto"/>
        <w:spacing w:before="1"/>
        <w:ind w:left="0"/>
        <w:rPr>
          <w:rFonts w:asciiTheme="minorHAnsi" w:hAnsiTheme="minorHAnsi" w:cstheme="minorHAnsi"/>
          <w:lang w:val="it-IT"/>
        </w:rPr>
      </w:pPr>
    </w:p>
    <w:p w:rsidR="00EB08FD" w:rsidRPr="00F17503" w:rsidRDefault="00EB08FD" w:rsidP="00EB08FD">
      <w:pPr>
        <w:rPr>
          <w:rFonts w:cstheme="minorHAnsi"/>
          <w:sz w:val="20"/>
        </w:rPr>
      </w:pPr>
      <w:r w:rsidRPr="00F17503">
        <w:rPr>
          <w:rFonts w:cstheme="minorHAnsi"/>
          <w:sz w:val="20"/>
        </w:rPr>
        <w:t xml:space="preserve">Francesca Vecchioni, Presidente </w:t>
      </w:r>
    </w:p>
    <w:p w:rsidR="00EB08FD" w:rsidRPr="00F17503" w:rsidRDefault="00EB08FD" w:rsidP="00EB08FD">
      <w:pPr>
        <w:rPr>
          <w:rFonts w:cstheme="minorHAnsi"/>
          <w:sz w:val="20"/>
        </w:rPr>
      </w:pPr>
      <w:r w:rsidRPr="00F17503">
        <w:rPr>
          <w:rFonts w:cstheme="minorHAnsi"/>
          <w:sz w:val="20"/>
        </w:rPr>
        <w:t xml:space="preserve">Cell. 346 0602171 | </w:t>
      </w:r>
      <w:hyperlink r:id="rId6" w:history="1">
        <w:r w:rsidRPr="00F17503">
          <w:rPr>
            <w:rStyle w:val="Collegamentoipertestuale"/>
            <w:rFonts w:cstheme="minorHAnsi"/>
            <w:sz w:val="20"/>
          </w:rPr>
          <w:t>staff@diversitylab.it</w:t>
        </w:r>
      </w:hyperlink>
      <w:r w:rsidRPr="00F17503">
        <w:rPr>
          <w:rFonts w:cstheme="minorHAnsi"/>
          <w:sz w:val="20"/>
        </w:rPr>
        <w:t xml:space="preserve"> </w:t>
      </w:r>
    </w:p>
    <w:p w:rsidR="00EB08FD" w:rsidRPr="00F17503" w:rsidRDefault="00E4702E" w:rsidP="00EB08FD">
      <w:pPr>
        <w:rPr>
          <w:rFonts w:cstheme="minorHAnsi"/>
          <w:sz w:val="20"/>
          <w:lang w:val="en-US"/>
        </w:rPr>
      </w:pPr>
      <w:hyperlink r:id="rId7" w:history="1">
        <w:r w:rsidR="00EB08FD" w:rsidRPr="00F17503">
          <w:rPr>
            <w:rStyle w:val="Collegamentoipertestuale"/>
            <w:rFonts w:cstheme="minorHAnsi"/>
            <w:sz w:val="20"/>
          </w:rPr>
          <w:t>www.diversitylab.it</w:t>
        </w:r>
      </w:hyperlink>
    </w:p>
    <w:p w:rsidR="005B290B" w:rsidRPr="00A30DFD" w:rsidRDefault="005B290B" w:rsidP="00A30DFD">
      <w:pPr>
        <w:rPr>
          <w:rFonts w:cstheme="minorHAnsi"/>
        </w:rPr>
      </w:pPr>
    </w:p>
    <w:sectPr w:rsidR="005B290B" w:rsidRPr="00A30DFD" w:rsidSect="005B2352">
      <w:headerReference w:type="default" r:id="rId8"/>
      <w:pgSz w:w="11900" w:h="16840"/>
      <w:pgMar w:top="15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02E" w:rsidRDefault="00E4702E" w:rsidP="005B2352">
      <w:r>
        <w:separator/>
      </w:r>
    </w:p>
  </w:endnote>
  <w:endnote w:type="continuationSeparator" w:id="0">
    <w:p w:rsidR="00E4702E" w:rsidRDefault="00E4702E" w:rsidP="005B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02E" w:rsidRDefault="00E4702E" w:rsidP="005B2352">
      <w:r>
        <w:separator/>
      </w:r>
    </w:p>
  </w:footnote>
  <w:footnote w:type="continuationSeparator" w:id="0">
    <w:p w:rsidR="00E4702E" w:rsidRDefault="00E4702E" w:rsidP="005B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352" w:rsidRDefault="005B2352" w:rsidP="005B2352">
    <w:pPr>
      <w:pStyle w:val="Intestazione"/>
      <w:tabs>
        <w:tab w:val="clear" w:pos="9638"/>
      </w:tabs>
      <w:ind w:left="-1134" w:right="-1134"/>
    </w:pPr>
    <w:r>
      <w:rPr>
        <w:noProof/>
      </w:rPr>
      <w:drawing>
        <wp:inline distT="0" distB="0" distL="0" distR="0">
          <wp:extent cx="7544425" cy="1778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riscia logo latera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3574" cy="313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352"/>
    <w:rsid w:val="000026D5"/>
    <w:rsid w:val="000F5EBC"/>
    <w:rsid w:val="001F5059"/>
    <w:rsid w:val="0026473F"/>
    <w:rsid w:val="004C44F5"/>
    <w:rsid w:val="004D7EDD"/>
    <w:rsid w:val="005B2352"/>
    <w:rsid w:val="005B290B"/>
    <w:rsid w:val="005E5FDD"/>
    <w:rsid w:val="005F47DF"/>
    <w:rsid w:val="0088176C"/>
    <w:rsid w:val="00A13564"/>
    <w:rsid w:val="00A30DFD"/>
    <w:rsid w:val="00C1189A"/>
    <w:rsid w:val="00D5681B"/>
    <w:rsid w:val="00DA06CD"/>
    <w:rsid w:val="00E4702E"/>
    <w:rsid w:val="00EB08FD"/>
    <w:rsid w:val="00F1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A29C7"/>
  <w14:defaultImageDpi w14:val="32767"/>
  <w15:chartTrackingRefBased/>
  <w15:docId w15:val="{2FD6BF99-3828-504C-A7F8-97127735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5B2352"/>
    <w:rPr>
      <w:rFonts w:eastAsiaTheme="minorEastAsia"/>
      <w:lang w:eastAsia="it-IT"/>
    </w:rPr>
  </w:style>
  <w:style w:type="paragraph" w:styleId="Titolo3">
    <w:name w:val="heading 3"/>
    <w:aliases w:val="TITOLO 3"/>
    <w:basedOn w:val="Normale"/>
    <w:next w:val="Normale"/>
    <w:link w:val="Titolo3Carattere"/>
    <w:uiPriority w:val="9"/>
    <w:unhideWhenUsed/>
    <w:qFormat/>
    <w:rsid w:val="0026473F"/>
    <w:pPr>
      <w:keepNext/>
      <w:keepLines/>
      <w:spacing w:before="40"/>
      <w:jc w:val="both"/>
      <w:outlineLvl w:val="2"/>
    </w:pPr>
    <w:rPr>
      <w:rFonts w:ascii="Tahoma" w:eastAsiaTheme="majorEastAsia" w:hAnsi="Tahoma" w:cstheme="majorBidi"/>
      <w:i/>
      <w:color w:val="ED9D2C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aliases w:val="TITOLO 3 Carattere"/>
    <w:basedOn w:val="Carpredefinitoparagrafo"/>
    <w:link w:val="Titolo3"/>
    <w:uiPriority w:val="9"/>
    <w:rsid w:val="0026473F"/>
    <w:rPr>
      <w:rFonts w:ascii="Tahoma" w:eastAsiaTheme="majorEastAsia" w:hAnsi="Tahoma" w:cstheme="majorBidi"/>
      <w:i/>
      <w:color w:val="ED9D2C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5B23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2352"/>
  </w:style>
  <w:style w:type="paragraph" w:styleId="Pidipagina">
    <w:name w:val="footer"/>
    <w:basedOn w:val="Normale"/>
    <w:link w:val="PidipaginaCarattere"/>
    <w:uiPriority w:val="99"/>
    <w:unhideWhenUsed/>
    <w:rsid w:val="005B2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2352"/>
  </w:style>
  <w:style w:type="paragraph" w:styleId="Corpotesto">
    <w:name w:val="Body Text"/>
    <w:basedOn w:val="Normale"/>
    <w:link w:val="CorpotestoCarattere"/>
    <w:uiPriority w:val="1"/>
    <w:qFormat/>
    <w:rsid w:val="00A30DFD"/>
    <w:pPr>
      <w:widowControl w:val="0"/>
      <w:autoSpaceDE w:val="0"/>
      <w:autoSpaceDN w:val="0"/>
      <w:ind w:left="112"/>
    </w:pPr>
    <w:rPr>
      <w:rFonts w:ascii="Lucida Sans" w:eastAsia="Lucida Sans" w:hAnsi="Lucida Sans" w:cs="Lucida Sans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0DFD"/>
    <w:rPr>
      <w:rFonts w:ascii="Lucida Sans" w:eastAsia="Lucida Sans" w:hAnsi="Lucida Sans" w:cs="Lucida Sans"/>
      <w:sz w:val="22"/>
      <w:szCs w:val="22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EB08F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EB0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3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diversitylab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aff@diversitylab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Maiocchi</dc:creator>
  <cp:keywords/>
  <dc:description/>
  <cp:lastModifiedBy>Giulia_MonginiComunicazione</cp:lastModifiedBy>
  <cp:revision>5</cp:revision>
  <cp:lastPrinted>2019-03-06T12:32:00Z</cp:lastPrinted>
  <dcterms:created xsi:type="dcterms:W3CDTF">2019-03-04T14:35:00Z</dcterms:created>
  <dcterms:modified xsi:type="dcterms:W3CDTF">2019-03-06T13:16:00Z</dcterms:modified>
</cp:coreProperties>
</file>